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FA08D1">
        <w:trPr>
          <w:trHeight w:hRule="exact" w:val="284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FC0A1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B050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FC0A10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 xml:space="preserve">gem. § 14 </w:t>
            </w:r>
            <w:proofErr w:type="spellStart"/>
            <w:r>
              <w:rPr>
                <w:rFonts w:ascii="Trade Gothic LT Std Cn" w:hAnsi="Trade Gothic LT Std Cn" w:cs="Arial"/>
                <w:b/>
                <w:sz w:val="20"/>
              </w:rPr>
              <w:t>Biostoff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>V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FC0A1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B050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FC0A1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B050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FC0A1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B050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FC0A1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B050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FC0A1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B050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FC0A1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B050"/>
            <w:noWrap/>
            <w:vAlign w:val="center"/>
          </w:tcPr>
          <w:p w:rsidR="004003D3" w:rsidRPr="00086768" w:rsidRDefault="00FC0A10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BIOSTOFF</w:t>
            </w:r>
            <w:r w:rsidR="003D27E2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FC0A10">
        <w:trPr>
          <w:trHeight w:hRule="exact" w:val="717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B050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CE4E26" w:rsidRPr="00086768" w:rsidRDefault="00CE4E26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FC0A1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FC0A1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086768" w:rsidRPr="00086768" w:rsidRDefault="00086768" w:rsidP="00F578ED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FC0A1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FC0A1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FC0A1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FC0A1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FC0A1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FC0A1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FC0A1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FC0A1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B050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AB3C70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</w:p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B050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FC0A10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center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B050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Default="00086768">
      <w:pPr>
        <w:rPr>
          <w:rFonts w:ascii="Trade Gothic LT Std Cn" w:hAnsi="Trade Gothic LT Std Cn"/>
        </w:rPr>
      </w:pPr>
    </w:p>
    <w:p w:rsidR="002168EE" w:rsidRDefault="00086768" w:rsidP="002168EE">
      <w:pPr>
        <w:jc w:val="center"/>
      </w:pPr>
      <w:r>
        <w:rPr>
          <w:rFonts w:ascii="Trade Gothic LT Std Cn" w:hAnsi="Trade Gothic LT Std Cn"/>
        </w:rPr>
        <w:br w:type="page"/>
      </w:r>
      <w:r w:rsidR="00D44E5B">
        <w:lastRenderedPageBreak/>
        <w:t>Symbolbib</w:t>
      </w:r>
      <w:bookmarkStart w:id="0" w:name="_GoBack"/>
      <w:bookmarkEnd w:id="0"/>
      <w:r w:rsidR="00D44E5B">
        <w:t>liothek</w:t>
      </w:r>
      <w:r w:rsidR="002168EE">
        <w:t xml:space="preserve"> Arbeitssicherheit und Gesundheitsschutz</w:t>
      </w:r>
    </w:p>
    <w:p w:rsidR="002168EE" w:rsidRDefault="002168EE" w:rsidP="002168EE">
      <w:r>
        <w:t xml:space="preserve">   </w:t>
      </w:r>
    </w:p>
    <w:tbl>
      <w:tblPr>
        <w:tblStyle w:val="Tabellenraster"/>
        <w:tblW w:w="11057" w:type="dxa"/>
        <w:tblInd w:w="-147" w:type="dxa"/>
        <w:tblLook w:val="04A0" w:firstRow="1" w:lastRow="0" w:firstColumn="1" w:lastColumn="0" w:noHBand="0" w:noVBand="1"/>
      </w:tblPr>
      <w:tblGrid>
        <w:gridCol w:w="1849"/>
        <w:gridCol w:w="3680"/>
        <w:gridCol w:w="1701"/>
        <w:gridCol w:w="3827"/>
      </w:tblGrid>
      <w:tr w:rsidR="002168EE" w:rsidTr="002168EE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r>
              <w:t xml:space="preserve">Gebotszeichen </w:t>
            </w:r>
          </w:p>
          <w:p w:rsidR="002168EE" w:rsidRDefault="002168EE"/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72110" cy="372110"/>
                  <wp:effectExtent l="0" t="0" r="8890" b="8890"/>
                  <wp:docPr id="309" name="Grafik 309" descr="https://www.umwelt-online.de/regelwerk/arbeitss/arbst.vo/arbst.rl/a1_3m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9" descr="https://www.umwelt-online.de/regelwerk/arbeitss/arbst.vo/arbst.rl/a1_3m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Gehörschutz benutzen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82270" cy="382270"/>
                  <wp:effectExtent l="0" t="0" r="0" b="0"/>
                  <wp:docPr id="308" name="Grafik 308" descr="https://www.umwelt-online.de/regelwerk/arbeitss/arbst.vo/arbst.rl/a1_3m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8" descr="https://www.umwelt-online.de/regelwerk/arbeitss/arbst.vo/arbst.rl/a1_3m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Augenschutz benutzen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01955" cy="382270"/>
                  <wp:effectExtent l="0" t="0" r="0" b="0"/>
                  <wp:docPr id="307" name="Grafik 307" descr="https://www.umwelt-online.de/regelwerk/arbeitss/arbst.vo/arbst.rl/a1_3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7" descr="https://www.umwelt-online.de/regelwerk/arbeitss/arbst.vo/arbst.rl/a1_3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Fußschutz benutzen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91795" cy="382270"/>
                  <wp:effectExtent l="0" t="0" r="8255" b="0"/>
                  <wp:docPr id="306" name="Grafik 306" descr="https://www.umwelt-online.de/regelwerk/arbeitss/arbst.vo/arbst.rl/a1_3m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6" descr="https://www.umwelt-online.de/regelwerk/arbeitss/arbst.vo/arbst.rl/a1_3m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Handschutz benutzen</w:t>
            </w:r>
          </w:p>
        </w:tc>
      </w:tr>
      <w:tr w:rsidR="002168EE" w:rsidTr="002168EE">
        <w:trPr>
          <w:trHeight w:val="57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72110" cy="362585"/>
                  <wp:effectExtent l="0" t="0" r="8890" b="0"/>
                  <wp:docPr id="305" name="Grafik 305" descr="https://www.umwelt-online.de/regelwerk/arbeitss/arbst.vo/arbst.rl/a1_3m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5" descr="https://www.umwelt-online.de/regelwerk/arbeitss/arbst.vo/arbst.rl/a1_3m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Schutzkleidung benutzen</w:t>
            </w:r>
          </w:p>
          <w:p w:rsidR="002168EE" w:rsidRDefault="002168EE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62585" cy="362585"/>
                  <wp:effectExtent l="0" t="0" r="0" b="0"/>
                  <wp:docPr id="304" name="Grafik 304" descr="ISO 7010 M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4" descr="ISO 7010 M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Gesichtsschutz benutzen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52425" cy="352425"/>
                  <wp:effectExtent l="0" t="0" r="9525" b="9525"/>
                  <wp:docPr id="303" name="Grafik 303" descr="ISO 7010 M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3" descr="ISO 7010 M0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Kopfschutz benutzen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72110" cy="362585"/>
                  <wp:effectExtent l="0" t="0" r="8890" b="0"/>
                  <wp:docPr id="302" name="Grafik 302" descr="https://www.umwelt-online.de/regelwerk/arbeitss/arbst.vo/arbst.rl/a1_3m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2" descr="https://www.umwelt-online.de/regelwerk/arbeitss/arbst.vo/arbst.rl/a1_3m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Warnweste benutzen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72110" cy="372110"/>
                  <wp:effectExtent l="0" t="0" r="8890" b="8890"/>
                  <wp:docPr id="301" name="Grafik 301" descr="https://www.umwelt-online.de/regelwerk/arbeitss/arbst.vo/arbst.rl/a1_3m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1" descr="https://www.umwelt-online.de/regelwerk/arbeitss/arbst.vo/arbst.rl/a1_3m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Atemschutz benutzen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62585" cy="372110"/>
                  <wp:effectExtent l="0" t="0" r="0" b="8890"/>
                  <wp:docPr id="300" name="Grafik 300" descr="https://www.umwelt-online.de/regelwerk/arbeitss/arbst.vo/arbst.rl/a1_3m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0" descr="https://www.umwelt-online.de/regelwerk/arbeitss/arbst.vo/arbst.rl/a1_3m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Auffanggurt benutzen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52425" cy="362585"/>
                  <wp:effectExtent l="0" t="0" r="9525" b="0"/>
                  <wp:docPr id="299" name="Grafik 299" descr="https://www.umwelt-online.de/regelwerk/arbeitss/arbst.vo/arbst.rl/a1_3m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9" descr="https://www.umwelt-online.de/regelwerk/arbeitss/arbst.vo/arbst.rl/a1_3m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Vor Wartung oder Reparatur freischalten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52425" cy="362585"/>
                  <wp:effectExtent l="0" t="0" r="9525" b="0"/>
                  <wp:docPr id="298" name="Grafik 298" descr="https://www.umwelt-online.de/regelwerk/arbeitss/arbst.vo/arbst.rl/a1_3m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8" descr="https://www.umwelt-online.de/regelwerk/arbeitss/arbst.vo/arbst.rl/a1_3m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Hautschutzmittel benutzen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pPr>
              <w:jc w:val="center"/>
              <w:rPr>
                <w:noProof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8EE" w:rsidRDefault="002168EE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pPr>
              <w:jc w:val="center"/>
              <w:rPr>
                <w:noProof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pPr>
              <w:rPr>
                <w:sz w:val="20"/>
              </w:rPr>
            </w:pPr>
          </w:p>
        </w:tc>
      </w:tr>
      <w:tr w:rsidR="002168EE" w:rsidTr="002168EE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r>
              <w:t>Verbotszeichen</w:t>
            </w:r>
          </w:p>
          <w:p w:rsidR="002168EE" w:rsidRDefault="002168EE">
            <w:pPr>
              <w:rPr>
                <w:sz w:val="20"/>
              </w:rPr>
            </w:pP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8305" cy="417830"/>
                  <wp:effectExtent l="0" t="0" r="0" b="1270"/>
                  <wp:docPr id="297" name="Grafik 297" descr="https://www.umwelt-online.de/regelwerk/arbeitss/arbst.vo/arbst.rl/a1_3p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7" descr="https://www.umwelt-online.de/regelwerk/arbeitss/arbst.vo/arbst.rl/a1_3p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Rauchen verboten</w:t>
            </w:r>
          </w:p>
          <w:p w:rsidR="002168EE" w:rsidRDefault="002168EE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417830"/>
                  <wp:effectExtent l="0" t="0" r="1270" b="1270"/>
                  <wp:docPr id="296" name="Grafik 296" descr="https://www.umwelt-online.de/regelwerk/arbeitss/arbst.vo/arbst.rl/a1_3p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6" descr="https://www.umwelt-online.de/regelwerk/arbeitss/arbst.vo/arbst.rl/a1_3p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Keine offene Flamme; Feuer, offene Zündquelle und Rauchen verboten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7515" cy="437515"/>
                  <wp:effectExtent l="0" t="0" r="635" b="635"/>
                  <wp:docPr id="295" name="Grafik 295" descr="https://www.umwelt-online.de/regelwerk/arbeitss/arbst.vo/arbst.rl/a1_3p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5" descr="https://www.umwelt-online.de/regelwerk/arbeitss/arbst.vo/arbst.rl/a1_3p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Für Fußgänger verboten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417830"/>
                  <wp:effectExtent l="0" t="0" r="1270" b="1270"/>
                  <wp:docPr id="294" name="Grafik 294" descr="https://www.umwelt-online.de/regelwerk/arbeitss/arbst.vo/arbst.rl/a1_3p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4" descr="https://www.umwelt-online.de/regelwerk/arbeitss/arbst.vo/arbst.rl/a1_3p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Kein Zutritt für Personen mit Herzschrittmachern oder implantierten Defibrillatoren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7515" cy="427990"/>
                  <wp:effectExtent l="0" t="0" r="635" b="0"/>
                  <wp:docPr id="293" name="Grafik 293" descr="https://www.umwelt-online.de/regelwerk/arbeitss/arbst.vo/arbst.rl/p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3" descr="https://www.umwelt-online.de/regelwerk/arbeitss/arbst.vo/arbst.rl/p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Aufsteigen verboten (In der Bedeutung von "Besteigen für Unbefugte verboten")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427990"/>
                  <wp:effectExtent l="0" t="0" r="1270" b="0"/>
                  <wp:docPr id="292" name="Grafik 292" descr="https://www.umwelt-online.de/regelwerk/arbeitss/arbst.vo/arbst.rl/a1_3p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2" descr="https://www.umwelt-online.de/regelwerk/arbeitss/arbst.vo/arbst.rl/a1_3p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Berühren verboten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7515" cy="437515"/>
                  <wp:effectExtent l="0" t="0" r="635" b="635"/>
                  <wp:docPr id="291" name="Grafik 291" descr="https://www.umwelt-online.de/regelwerk/arbeitss/arbst.vo/arbst.rl/a1_3p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1" descr="https://www.umwelt-online.de/regelwerk/arbeitss/arbst.vo/arbst.rl/a1_3p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Mit Wasser löschen verboten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7515" cy="437515"/>
                  <wp:effectExtent l="0" t="0" r="635" b="635"/>
                  <wp:docPr id="290" name="Grafik 290" descr="https://www.umwelt-online.de/regelwerk/arbeitss/arbst.vo/arbst.rl/a1_3p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0" descr="https://www.umwelt-online.de/regelwerk/arbeitss/arbst.vo/arbst.rl/a1_3p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Keine schwere Last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7990" cy="437515"/>
                  <wp:effectExtent l="0" t="0" r="0" b="635"/>
                  <wp:docPr id="289" name="Grafik 289" descr="https://www.umwelt-online.de/regelwerk/arbeitss/arbst.vo/arbst.rl/a1_3p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9" descr="https://www.umwelt-online.de/regelwerk/arbeitss/arbst.vo/arbst.rl/a1_3p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Kein Zutritt für Personen mit Implantaten aus Metall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437515"/>
                  <wp:effectExtent l="0" t="0" r="1270" b="635"/>
                  <wp:docPr id="288" name="Grafik 288" descr="https://www.umwelt-online.de/regelwerk/arbeitss/arbst.vo/arbst.rl/a1_3p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8" descr="https://www.umwelt-online.de/regelwerk/arbeitss/arbst.vo/arbst.rl/a1_3p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Aufzug im Brandfall nicht benutzen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7515" cy="457200"/>
                  <wp:effectExtent l="0" t="0" r="635" b="0"/>
                  <wp:docPr id="218" name="Grafik 218" descr="https://www.umwelt-online.de/regelwerk/arbeitss/arbst.vo/arbst.rl/a1_3p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8" descr="https://www.umwelt-online.de/regelwerk/arbeitss/arbst.vo/arbst.rl/a1_3p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Mitführen von Hunden verboten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7990" cy="437515"/>
                  <wp:effectExtent l="0" t="0" r="0" b="635"/>
                  <wp:docPr id="217" name="Grafik 217" descr="https://www.umwelt-online.de/regelwerk/arbeitss/arbst.vo/arbst.rl/a1_3p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7" descr="https://www.umwelt-online.de/regelwerk/arbeitss/arbst.vo/arbst.rl/a1_3p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Essen und Trinken verboten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7515" cy="447675"/>
                  <wp:effectExtent l="0" t="0" r="635" b="9525"/>
                  <wp:docPr id="216" name="Grafik 216" descr="https://www.umwelt-online.de/regelwerk/arbeitss/arbst.vo/arbst.rl/a1_3p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6" descr="https://www.umwelt-online.de/regelwerk/arbeitss/arbst.vo/arbst.rl/a1_3p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Benutzen von Handschuhen verboten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7990" cy="437515"/>
                  <wp:effectExtent l="0" t="0" r="0" b="635"/>
                  <wp:docPr id="215" name="Grafik 215" descr="https://www.umwelt-online.de/regelwerk/arbeitss/arbst.vo/arbst.rl/a1_3p0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15" descr="https://www.umwelt-online.de/regelwerk/arbeitss/arbst.vo/arbst.rl/a1_3p0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Schalten verboten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7990" cy="427990"/>
                  <wp:effectExtent l="0" t="0" r="0" b="0"/>
                  <wp:docPr id="201" name="Grafik 201" descr="https://www.umwelt-online.de/regelwerk/arbeitss/arbst.vo/arbst.rl/a1_3dp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01" descr="https://www.umwelt-online.de/regelwerk/arbeitss/arbst.vo/arbst.rl/a1_3dp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Zutritt für Unbefugte verboten</w:t>
            </w:r>
          </w:p>
          <w:p w:rsidR="002168EE" w:rsidRDefault="002168EE">
            <w:pPr>
              <w:rPr>
                <w:sz w:val="20"/>
              </w:rPr>
            </w:pPr>
          </w:p>
          <w:p w:rsidR="002168EE" w:rsidRDefault="002168EE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8EE" w:rsidRDefault="002168EE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pPr>
              <w:rPr>
                <w:sz w:val="20"/>
              </w:rPr>
            </w:pPr>
          </w:p>
        </w:tc>
      </w:tr>
      <w:tr w:rsidR="002168EE" w:rsidTr="002168EE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pPr>
              <w:rPr>
                <w:sz w:val="20"/>
              </w:rPr>
            </w:pPr>
          </w:p>
        </w:tc>
      </w:tr>
      <w:tr w:rsidR="002168EE" w:rsidTr="002168EE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r>
              <w:t>Warnzeichen</w:t>
            </w:r>
          </w:p>
          <w:p w:rsidR="002168EE" w:rsidRDefault="002168EE">
            <w:pPr>
              <w:rPr>
                <w:sz w:val="20"/>
              </w:rPr>
            </w:pP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382270"/>
                  <wp:effectExtent l="0" t="0" r="1270" b="0"/>
                  <wp:docPr id="287" name="Grafik 287" descr="https://www.umwelt-online.de/regelwerk/arbeitss/arbst.vo/arbst.rl/a1_3w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7" descr="https://www.umwelt-online.de/regelwerk/arbeitss/arbst.vo/arbst.rl/a1_3w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Allgemeines Warnzeichen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7990" cy="372110"/>
                  <wp:effectExtent l="0" t="0" r="0" b="8890"/>
                  <wp:docPr id="286" name="Grafik 286" descr="https://www.umwelt-online.de/regelwerk/arbeitss/arbst.vo/arbst.rl/a1_3w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6" descr="https://www.umwelt-online.de/regelwerk/arbeitss/arbst.vo/arbst.rl/a1_3w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explosionsgefährlichen Stoffen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75" cy="391795"/>
                  <wp:effectExtent l="0" t="0" r="9525" b="8255"/>
                  <wp:docPr id="285" name="Grafik 285" descr="https://www.umwelt-online.de/regelwerk/arbeitss/arbst.vo/arbst.rl/a1_3w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5" descr="https://www.umwelt-online.de/regelwerk/arbeitss/arbst.vo/arbst.rl/a1_3w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radioaktiven Stoffen oder ionisierender Strahlung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75" cy="391795"/>
                  <wp:effectExtent l="0" t="0" r="9525" b="8255"/>
                  <wp:docPr id="284" name="Grafik 284" descr="https://www.umwelt-online.de/regelwerk/arbeitss/arbst.vo/arbst.rl/a1_3w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4" descr="https://www.umwelt-online.de/regelwerk/arbeitss/arbst.vo/arbst.rl/a1_3w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Laserstrahl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75" cy="391795"/>
                  <wp:effectExtent l="0" t="0" r="9525" b="8255"/>
                  <wp:docPr id="281" name="Grafik 281" descr="https://www.umwelt-online.de/regelwerk/arbeitss/arbst.vo/arbst.rl/a1_3w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1" descr="https://www.umwelt-online.de/regelwerk/arbeitss/arbst.vo/arbst.rl/a1_3w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magnetischem Feld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75" cy="391795"/>
                  <wp:effectExtent l="0" t="0" r="9525" b="8255"/>
                  <wp:docPr id="280" name="Grafik 280" descr="https://www.umwelt-online.de/regelwerk/arbeitss/arbst.vo/arbst.rl/a1_3w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0" descr="https://www.umwelt-online.de/regelwerk/arbeitss/arbst.vo/arbst.rl/a1_3w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Hindernissen am Boden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1955" cy="382270"/>
                  <wp:effectExtent l="0" t="0" r="0" b="0"/>
                  <wp:docPr id="279" name="Grafik 279" descr="https://www.umwelt-online.de/regelwerk/arbeitss/arbst.vo/arbst.rl/a1_3w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79" descr="https://www.umwelt-online.de/regelwerk/arbeitss/arbst.vo/arbst.rl/a1_3w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Absturzgefahr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7515" cy="372110"/>
                  <wp:effectExtent l="0" t="0" r="635" b="8890"/>
                  <wp:docPr id="278" name="Grafik 278" descr="https://www.umwelt-online.de/regelwerk/arbeitss/arbst.vo/arbst.rl/a1_3w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78" descr="https://www.umwelt-online.de/regelwerk/arbeitss/arbst.vo/arbst.rl/a1_3w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Biogefährdung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1795" cy="362585"/>
                  <wp:effectExtent l="0" t="0" r="8255" b="0"/>
                  <wp:docPr id="277" name="Grafik 277" descr="https://www.umwelt-online.de/regelwerk/arbeitss/arbst.vo/arbst.rl/a1_3w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77" descr="https://www.umwelt-online.de/regelwerk/arbeitss/arbst.vo/arbst.rl/a1_3w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Rutschgefahr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352425"/>
                  <wp:effectExtent l="0" t="0" r="1270" b="9525"/>
                  <wp:docPr id="276" name="Grafik 276" descr="https://www.umwelt-online.de/regelwerk/arbeitss/arbst.vo/arbst.rl/a1_3w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76" descr="https://www.umwelt-online.de/regelwerk/arbeitss/arbst.vo/arbst.rl/a1_3w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elektrischer Spannung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2270" cy="352425"/>
                  <wp:effectExtent l="0" t="0" r="0" b="9525"/>
                  <wp:docPr id="275" name="Grafik 275" descr="https://www.umwelt-online.de/regelwerk/arbeitss/arbst.vo/arbst.rl/a1_3w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75" descr="https://www.umwelt-online.de/regelwerk/arbeitss/arbst.vo/arbst.rl/a1_3w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heißer Oberfläche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91795" cy="342900"/>
                  <wp:effectExtent l="0" t="0" r="8255" b="0"/>
                  <wp:docPr id="264" name="Grafik 264" descr="https://www.umwelt-online.de/regelwerk/arbeitss/arbst.vo/arbst.rl/a1_3w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4" descr="https://www.umwelt-online.de/regelwerk/arbeitss/arbst.vo/arbst.rl/a1_3w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automatischem Anlauf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66725" cy="391795"/>
                  <wp:effectExtent l="0" t="0" r="9525" b="8255"/>
                  <wp:docPr id="262" name="Grafik 262" descr="https://www.umwelt-online.de/regelwerk/arbeitss/arbst.vo/arbst.rl/a1_3w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2" descr="https://www.umwelt-online.de/regelwerk/arbeitss/arbst.vo/arbst.rl/a1_3w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Quetschgefahr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75" cy="382270"/>
                  <wp:effectExtent l="0" t="0" r="9525" b="0"/>
                  <wp:docPr id="261" name="Grafik 261" descr="https://www.umwelt-online.de/regelwerk/arbeitss/arbst.vo/arbst.rl/a1_3w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1" descr="https://www.umwelt-online.de/regelwerk/arbeitss/arbst.vo/arbst.rl/a1_3w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Handverletzungen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372110"/>
                  <wp:effectExtent l="0" t="0" r="1270" b="8890"/>
                  <wp:docPr id="260" name="Grafik 260" descr="https://www.umwelt-online.de/regelwerk/arbeitss/arbst.vo/arbst.rl/a1_3w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60" descr="https://www.umwelt-online.de/regelwerk/arbeitss/arbst.vo/arbst.rl/a1_3w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gegenläufigen Rollen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8305" cy="362585"/>
                  <wp:effectExtent l="0" t="0" r="0" b="0"/>
                  <wp:docPr id="259" name="Grafik 259" descr="https://www.umwelt-online.de/regelwerk/arbeitss/arbst.vo/arbst.rl/a1_3w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9" descr="https://www.umwelt-online.de/regelwerk/arbeitss/arbst.vo/arbst.rl/a1_3w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Gefahren durch das Aufladen von Batterien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352425"/>
                  <wp:effectExtent l="0" t="0" r="1270" b="9525"/>
                  <wp:docPr id="258" name="Grafik 258" descr="https://www.umwelt-online.de/regelwerk/arbeitss/arbst.vo/arbst.rl/a1_3w0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8" descr="https://www.umwelt-online.de/regelwerk/arbeitss/arbst.vo/arbst.rl/a1_3w0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Gasflaschen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7830" cy="362585"/>
                  <wp:effectExtent l="0" t="0" r="1270" b="0"/>
                  <wp:docPr id="257" name="Grafik 257" descr="https://www.umwelt-online.de/regelwerk/arbeitss/arbst.vo/arbst.rl/a1_3dw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7" descr="https://www.umwelt-online.de/regelwerk/arbeitss/arbst.vo/arbst.rl/a1_3dw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Warnung vor explosionsfähiger Atmosphäre</w:t>
            </w:r>
          </w:p>
        </w:tc>
      </w:tr>
      <w:tr w:rsidR="002168EE" w:rsidTr="002168EE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pPr>
              <w:rPr>
                <w:sz w:val="20"/>
              </w:rPr>
            </w:pPr>
          </w:p>
        </w:tc>
      </w:tr>
      <w:tr w:rsidR="002168EE" w:rsidTr="002168EE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r>
              <w:t>Rettungszeichen</w:t>
            </w:r>
          </w:p>
          <w:p w:rsidR="002168EE" w:rsidRDefault="002168EE">
            <w:pPr>
              <w:rPr>
                <w:sz w:val="20"/>
              </w:rPr>
            </w:pP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215" cy="323215"/>
                  <wp:effectExtent l="0" t="0" r="635" b="635"/>
                  <wp:docPr id="256" name="Grafik 256" descr="https://www.umwelt-online.de/regelwerk/arbeitss/arbst.vo/arbst.rl/a1_3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6" descr="https://www.umwelt-online.de/regelwerk/arbeitss/arbst.vo/arbst.rl/a1_3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Notausgang (links)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313690"/>
                  <wp:effectExtent l="0" t="0" r="1270" b="0"/>
                  <wp:docPr id="255" name="Grafik 255" descr="https://www.umwelt-online.de/regelwerk/arbeitss/arbst.vo/arbst.rl/a1_3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5" descr="https://www.umwelt-online.de/regelwerk/arbeitss/arbst.vo/arbst.rl/a1_3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Notausgang (rechts)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303530"/>
                  <wp:effectExtent l="0" t="0" r="1270" b="1270"/>
                  <wp:docPr id="254" name="Grafik 254" descr="https://www.umwelt-online.de/regelwerk/arbeitss/arbst.vo/arbst.rl/a1_3e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4" descr="https://www.umwelt-online.de/regelwerk/arbeitss/arbst.vo/arbst.rl/a1_3e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Erste Hilfe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303530"/>
                  <wp:effectExtent l="0" t="0" r="1270" b="1270"/>
                  <wp:docPr id="253" name="Grafik 253" descr="https://www.umwelt-online.de/regelwerk/arbeitss/arbst.vo/arbst.rl/a1_3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3" descr="https://www.umwelt-online.de/regelwerk/arbeitss/arbst.vo/arbst.rl/a1_3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Notruftelefon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294005"/>
                  <wp:effectExtent l="0" t="0" r="1270" b="0"/>
                  <wp:docPr id="252" name="Grafik 252" descr="https://www.umwelt-online.de/regelwerk/arbeitss/arbst.vo/arbst.rl/a1_3e0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2" descr="https://www.umwelt-online.de/regelwerk/arbeitss/arbst.vo/arbst.rl/a1_3e0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Sammelstelle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294005"/>
                  <wp:effectExtent l="0" t="0" r="1270" b="0"/>
                  <wp:docPr id="251" name="Grafik 251" descr="https://www.umwelt-online.de/regelwerk/arbeitss/arbst.vo/arbst.rl/a1_3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1" descr="https://www.umwelt-online.de/regelwerk/arbeitss/arbst.vo/arbst.rl/a1_3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Automatisierter Externer Defibrillator (AED)</w:t>
            </w:r>
          </w:p>
        </w:tc>
      </w:tr>
      <w:tr w:rsidR="002168EE" w:rsidTr="002168EE">
        <w:trPr>
          <w:trHeight w:val="5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313690"/>
                  <wp:effectExtent l="0" t="0" r="1270" b="0"/>
                  <wp:docPr id="250" name="Grafik 250" descr="https://www.umwelt-online.de/regelwerk/arbeitss/arbst.vo/arbst.rl/a1_3e0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50" descr="https://www.umwelt-online.de/regelwerk/arbeitss/arbst.vo/arbst.rl/a1_3e0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Augenspüleinrichtung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303530"/>
                  <wp:effectExtent l="0" t="0" r="1270" b="1270"/>
                  <wp:docPr id="249" name="Grafik 249" descr="https://www.umwelt-online.de/regelwerk/arbeitss/arbst.vo/arbst.rl/a1_3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9" descr="https://www.umwelt-online.de/regelwerk/arbeitss/arbst.vo/arbst.rl/a1_3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Notdusche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4005" cy="294005"/>
                  <wp:effectExtent l="0" t="0" r="0" b="0"/>
                  <wp:docPr id="248" name="Grafik 248" descr="https://www.umwelt-online.de/regelwerk/arbeitss/arbst.vo/arbst.rl/a1_3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8" descr="https://www.umwelt-online.de/regelwerk/arbeitss/arbst.vo/arbst.rl/a1_3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Notausstieg mit Fluchtleiter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303530"/>
                  <wp:effectExtent l="0" t="0" r="1270" b="1270"/>
                  <wp:docPr id="247" name="Grafik 247" descr="https://www.umwelt-online.de/regelwerk/arbeitss/arbst.vo/arbst.rl/a1_3de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7" descr="https://www.umwelt-online.de/regelwerk/arbeitss/arbst.vo/arbst.rl/a1_3de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 xml:space="preserve">Notausstieg 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655" cy="287655"/>
                  <wp:effectExtent l="0" t="0" r="0" b="0"/>
                  <wp:docPr id="246" name="Grafik 246" descr="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6" descr="B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Schiebetür öffnet nach rechts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4005" cy="294005"/>
                  <wp:effectExtent l="0" t="0" r="0" b="0"/>
                  <wp:docPr id="245" name="Grafik 245" descr="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45" descr="B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9400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Schiebetür öffnet nach links</w:t>
            </w:r>
          </w:p>
        </w:tc>
      </w:tr>
      <w:tr w:rsidR="002168EE" w:rsidTr="002168EE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pPr>
              <w:rPr>
                <w:sz w:val="20"/>
              </w:rPr>
            </w:pPr>
          </w:p>
        </w:tc>
      </w:tr>
      <w:tr w:rsidR="002168EE" w:rsidTr="002168EE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r>
              <w:t>Brandschutzzeichen</w:t>
            </w:r>
          </w:p>
          <w:p w:rsidR="002168EE" w:rsidRDefault="002168EE"/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3690" cy="313690"/>
                  <wp:effectExtent l="0" t="0" r="0" b="0"/>
                  <wp:docPr id="235" name="Grafik 235" descr="https://www.umwelt-online.de/regelwerk/arbeitss/arbst.vo/arbst.rl/a1_3f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35" descr="https://www.umwelt-online.de/regelwerk/arbeitss/arbst.vo/arbst.rl/a1_3f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Feuerlöscher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3690" cy="303530"/>
                  <wp:effectExtent l="0" t="0" r="0" b="1270"/>
                  <wp:docPr id="234" name="Grafik 234" descr="https://www.umwelt-online.de/regelwerk/arbeitss/arbst.vo/arbst.rl/a1_3f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34" descr="https://www.umwelt-online.de/regelwerk/arbeitss/arbst.vo/arbst.rl/a1_3f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Löschschlauch</w:t>
            </w:r>
          </w:p>
        </w:tc>
      </w:tr>
      <w:tr w:rsidR="002168EE" w:rsidTr="002168EE">
        <w:trPr>
          <w:trHeight w:val="481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3690" cy="303530"/>
                  <wp:effectExtent l="0" t="0" r="0" b="1270"/>
                  <wp:docPr id="233" name="Grafik 233" descr="https://www.umwelt-online.de/regelwerk/arbeitss/arbst.vo/arbst.rl/a1_3f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33" descr="https://www.umwelt-online.de/regelwerk/arbeitss/arbst.vo/arbst.rl/a1_3f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Feuerleiter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3690" cy="294005"/>
                  <wp:effectExtent l="0" t="0" r="0" b="0"/>
                  <wp:docPr id="30" name="Grafik 30" descr="https://www.umwelt-online.de/regelwerk/arbeitss/arbst.vo/arbst.rl/a1_3f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0" descr="https://www.umwelt-online.de/regelwerk/arbeitss/arbst.vo/arbst.rl/a1_3f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Mittel und Geräte zur Brandbekämpfung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3690" cy="303530"/>
                  <wp:effectExtent l="0" t="0" r="0" b="1270"/>
                  <wp:docPr id="29" name="Grafik 29" descr="https://www.umwelt-online.de/regelwerk/arbeitss/arbst.vo/arbst.rl/a1_3f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9" descr="https://www.umwelt-online.de/regelwerk/arbeitss/arbst.vo/arbst.rl/a1_3f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Brandmelder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8EE" w:rsidRDefault="002168E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530" cy="303530"/>
                  <wp:effectExtent l="0" t="0" r="1270" b="1270"/>
                  <wp:docPr id="28" name="Grafik 28" descr="https://www.umwelt-online.de/regelwerk/arbeitss/arbst.vo/arbst.rl/a1_3f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8" descr="https://www.umwelt-online.de/regelwerk/arbeitss/arbst.vo/arbst.rl/a1_3f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Brandmeldetelefon</w:t>
            </w:r>
          </w:p>
        </w:tc>
      </w:tr>
      <w:tr w:rsidR="002168EE" w:rsidTr="002168EE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pPr>
              <w:rPr>
                <w:sz w:val="20"/>
              </w:rPr>
            </w:pPr>
          </w:p>
        </w:tc>
      </w:tr>
      <w:tr w:rsidR="002168EE" w:rsidTr="002168EE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r>
              <w:t>GHS-Symbole (Gefahrstoffkennzeichnung)</w:t>
            </w:r>
          </w:p>
          <w:p w:rsidR="002168EE" w:rsidRDefault="002168EE">
            <w:pPr>
              <w:rPr>
                <w:sz w:val="20"/>
              </w:rPr>
            </w:pPr>
          </w:p>
        </w:tc>
      </w:tr>
      <w:tr w:rsidR="002168EE" w:rsidTr="002168EE">
        <w:trPr>
          <w:trHeight w:val="61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2585" cy="362585"/>
                  <wp:effectExtent l="0" t="0" r="0" b="0"/>
                  <wp:docPr id="22" name="Grafik 22" descr="ghs_001_o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ghs_001_o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Explosive Stoffe/Gemische und Erzeugnisse mit Explosivstoff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2270" cy="382270"/>
                  <wp:effectExtent l="0" t="0" r="0" b="0"/>
                  <wp:docPr id="15" name="Grafik 15" descr="ghs_002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 descr="ghs_002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 xml:space="preserve">Entzündbare, </w:t>
            </w:r>
            <w:proofErr w:type="spellStart"/>
            <w:r>
              <w:rPr>
                <w:sz w:val="20"/>
              </w:rPr>
              <w:t>selbstzersetzliche</w:t>
            </w:r>
            <w:proofErr w:type="spellEnd"/>
            <w:r>
              <w:rPr>
                <w:sz w:val="20"/>
              </w:rPr>
              <w:t>, pyrophore, selbsterhitzungsfähige, mit Wasser entzündbare Gase entwickelnde/abgebende Stoffe, organische Peroxide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2900" cy="342900"/>
                  <wp:effectExtent l="0" t="0" r="0" b="0"/>
                  <wp:docPr id="13" name="Grafik 13" descr="ghs_003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ghs_003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Oxidierende Stoffe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2425" cy="352425"/>
                  <wp:effectExtent l="0" t="0" r="9525" b="9525"/>
                  <wp:docPr id="12" name="Grafik 12" descr="ghs_004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ghs_004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Verdichtete, verflüssigte, tiefkühlverflüssigte Gase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2425" cy="352425"/>
                  <wp:effectExtent l="0" t="0" r="9525" b="9525"/>
                  <wp:docPr id="11" name="Grafik 11" descr="ghs_005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 descr="ghs_005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Korrosiv gegenüber Metallen, Ätz-/Reizwirkung auf die Haut, Schwere Augenschädigung/ Augenreizung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62585" cy="362585"/>
                  <wp:effectExtent l="0" t="0" r="0" b="0"/>
                  <wp:docPr id="10" name="Grafik 10" descr="ghs_006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 descr="ghs_006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 xml:space="preserve">Akute Toxizität (oral, dermal, </w:t>
            </w:r>
            <w:proofErr w:type="spellStart"/>
            <w:r>
              <w:rPr>
                <w:sz w:val="20"/>
              </w:rPr>
              <w:t>inhalativ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3375" cy="333375"/>
                  <wp:effectExtent l="0" t="0" r="9525" b="9525"/>
                  <wp:docPr id="9" name="Grafik 9" descr="ghs_007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ghs_007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 xml:space="preserve">Akute Toxizität (oral, dermal, </w:t>
            </w:r>
            <w:proofErr w:type="spellStart"/>
            <w:r>
              <w:rPr>
                <w:sz w:val="20"/>
              </w:rPr>
              <w:t>inhalativ</w:t>
            </w:r>
            <w:proofErr w:type="spellEnd"/>
            <w:r>
              <w:rPr>
                <w:sz w:val="20"/>
              </w:rPr>
              <w:t>), Reizwirkung auf die Haut, schwere Augenreizung, Sensibilisierung der Haut, spezifische Zielorgan-Toxizität, Atemwegsreizung, narkotisierende Wirkung, die Ozonschicht schädigend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2425" cy="352425"/>
                  <wp:effectExtent l="0" t="0" r="9525" b="9525"/>
                  <wp:docPr id="5" name="Grafik 5" descr="ghs_008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ghs_008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 xml:space="preserve">Sensibilisierung der Atemwege, </w:t>
            </w:r>
            <w:proofErr w:type="spellStart"/>
            <w:r>
              <w:rPr>
                <w:sz w:val="20"/>
              </w:rPr>
              <w:t>Keimzellmutagenität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Karzinogenität</w:t>
            </w:r>
            <w:proofErr w:type="spellEnd"/>
            <w:r>
              <w:rPr>
                <w:sz w:val="20"/>
              </w:rPr>
              <w:t>, Reproduktionstoxizität, spezifische Zielorgan-Toxizität, Aspirationsgefahr</w:t>
            </w:r>
          </w:p>
        </w:tc>
      </w:tr>
      <w:tr w:rsidR="002168EE" w:rsidTr="002168EE">
        <w:trPr>
          <w:trHeight w:val="54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215" cy="323215"/>
                  <wp:effectExtent l="0" t="0" r="635" b="635"/>
                  <wp:docPr id="4" name="Grafik 4" descr="ghs_009_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ghs_009_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Gewässergefährdend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pPr>
              <w:rPr>
                <w:sz w:val="20"/>
              </w:rPr>
            </w:pPr>
          </w:p>
        </w:tc>
      </w:tr>
      <w:tr w:rsidR="002168EE" w:rsidTr="002168EE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6410" cy="486410"/>
                  <wp:effectExtent l="0" t="0" r="8890" b="8890"/>
                  <wp:docPr id="3" name="Grafik 3" descr="ghs_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ghs_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Signalwort - Achtung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pStyle w:val="Standard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6410" cy="486410"/>
                  <wp:effectExtent l="0" t="0" r="8890" b="8890"/>
                  <wp:docPr id="2" name="Grafik 2" descr="ghs_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ghs_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8EE" w:rsidRDefault="002168EE">
            <w:pPr>
              <w:rPr>
                <w:sz w:val="20"/>
              </w:rPr>
            </w:pPr>
            <w:r>
              <w:rPr>
                <w:sz w:val="20"/>
              </w:rPr>
              <w:t>Signalwort - Gefahr</w:t>
            </w:r>
          </w:p>
        </w:tc>
      </w:tr>
      <w:tr w:rsidR="002168EE" w:rsidTr="002168EE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EE" w:rsidRDefault="002168EE">
            <w:pPr>
              <w:rPr>
                <w:sz w:val="20"/>
              </w:rPr>
            </w:pPr>
          </w:p>
        </w:tc>
      </w:tr>
    </w:tbl>
    <w:p w:rsidR="00086768" w:rsidRDefault="00086768" w:rsidP="002168EE">
      <w:pPr>
        <w:jc w:val="center"/>
        <w:rPr>
          <w:rFonts w:ascii="Trade Gothic LT Std Cn" w:hAnsi="Trade Gothic LT Std Cn"/>
        </w:rPr>
      </w:pPr>
    </w:p>
    <w:sectPr w:rsidR="00086768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 Gothic LT Std Cn">
    <w:altName w:val="﷽﷽﷽﷽﷽﷽﷽﷽thic LT Std Cn"/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50947"/>
    <w:rsid w:val="000716F8"/>
    <w:rsid w:val="00082684"/>
    <w:rsid w:val="00086768"/>
    <w:rsid w:val="0014426F"/>
    <w:rsid w:val="002168EE"/>
    <w:rsid w:val="003B38C7"/>
    <w:rsid w:val="003D27E2"/>
    <w:rsid w:val="004003D3"/>
    <w:rsid w:val="004D5998"/>
    <w:rsid w:val="005B55E4"/>
    <w:rsid w:val="005D12EC"/>
    <w:rsid w:val="005D42F2"/>
    <w:rsid w:val="006E0915"/>
    <w:rsid w:val="008E2BB3"/>
    <w:rsid w:val="009B674F"/>
    <w:rsid w:val="00AB3C70"/>
    <w:rsid w:val="00AE6068"/>
    <w:rsid w:val="00C31BDD"/>
    <w:rsid w:val="00C33065"/>
    <w:rsid w:val="00CE4E26"/>
    <w:rsid w:val="00D44E5B"/>
    <w:rsid w:val="00DB4519"/>
    <w:rsid w:val="00DF7B60"/>
    <w:rsid w:val="00E154BA"/>
    <w:rsid w:val="00ED3E78"/>
    <w:rsid w:val="00F578ED"/>
    <w:rsid w:val="00FA08D1"/>
    <w:rsid w:val="00FC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FD451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jpeg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76" Type="http://schemas.openxmlformats.org/officeDocument/2006/relationships/image" Target="media/image73.gif"/><Relationship Id="rId7" Type="http://schemas.openxmlformats.org/officeDocument/2006/relationships/image" Target="media/image4.gif"/><Relationship Id="rId71" Type="http://schemas.openxmlformats.org/officeDocument/2006/relationships/image" Target="media/image68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63.gif"/><Relationship Id="rId74" Type="http://schemas.openxmlformats.org/officeDocument/2006/relationships/image" Target="media/image71.gif"/><Relationship Id="rId79" Type="http://schemas.openxmlformats.org/officeDocument/2006/relationships/fontTable" Target="fontTable.xml"/><Relationship Id="rId5" Type="http://schemas.openxmlformats.org/officeDocument/2006/relationships/image" Target="media/image2.gif"/><Relationship Id="rId61" Type="http://schemas.openxmlformats.org/officeDocument/2006/relationships/image" Target="media/image58.jpeg"/><Relationship Id="rId10" Type="http://schemas.openxmlformats.org/officeDocument/2006/relationships/image" Target="media/image7.png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jpeg"/><Relationship Id="rId65" Type="http://schemas.openxmlformats.org/officeDocument/2006/relationships/image" Target="media/image62.gif"/><Relationship Id="rId73" Type="http://schemas.openxmlformats.org/officeDocument/2006/relationships/image" Target="media/image70.gif"/><Relationship Id="rId78" Type="http://schemas.openxmlformats.org/officeDocument/2006/relationships/image" Target="media/image75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77" Type="http://schemas.openxmlformats.org/officeDocument/2006/relationships/image" Target="media/image74.gif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image" Target="media/image67.gif"/><Relationship Id="rId75" Type="http://schemas.openxmlformats.org/officeDocument/2006/relationships/image" Target="media/image72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6</cp:revision>
  <cp:lastPrinted>2020-12-01T17:13:00Z</cp:lastPrinted>
  <dcterms:created xsi:type="dcterms:W3CDTF">2021-08-19T11:33:00Z</dcterms:created>
  <dcterms:modified xsi:type="dcterms:W3CDTF">2024-04-10T16:32:00Z</dcterms:modified>
</cp:coreProperties>
</file>